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50D" w:rsidRPr="0048250D" w:rsidRDefault="0048250D" w:rsidP="004825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Приложение N 3</w:t>
      </w:r>
      <w:r w:rsidRPr="0048250D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к </w:t>
      </w:r>
      <w:hyperlink r:id="rId4" w:anchor="/document/72861778/entry/0" w:history="1">
        <w:r w:rsidRPr="0048250D">
          <w:rPr>
            <w:rFonts w:ascii="Times New Roman" w:eastAsia="Times New Roman" w:hAnsi="Times New Roman" w:cs="Times New Roman"/>
            <w:b/>
            <w:bCs/>
            <w:color w:val="3272C0"/>
            <w:sz w:val="23"/>
            <w:szCs w:val="23"/>
            <w:lang w:eastAsia="ru-RU"/>
          </w:rPr>
          <w:t>распоряжению</w:t>
        </w:r>
      </w:hyperlink>
      <w:r w:rsidRPr="0048250D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t> Правительства</w:t>
      </w:r>
      <w:r w:rsidRPr="0048250D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Российской Федерации</w:t>
      </w:r>
      <w:r w:rsidRPr="0048250D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  <w:t>от 12 октября 2019 г. N 2406-р</w:t>
      </w:r>
    </w:p>
    <w:p w:rsidR="0048250D" w:rsidRPr="0048250D" w:rsidRDefault="0048250D" w:rsidP="0048250D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Наименование изменено с 26 апреля 2020 г. - </w:t>
      </w:r>
      <w:hyperlink r:id="rId5" w:anchor="/document/73956849/entry/1002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26 апреля 2020 г. N 1142-Р</w:t>
      </w:r>
    </w:p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" w:anchor="/document/77692001/entry/3000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См. предыдущую редакцию</w:t>
        </w:r>
      </w:hyperlink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Перечень</w:t>
      </w: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 xml:space="preserve">лекарственных препаратов, предназначенных для обеспечения лиц, </w:t>
      </w:r>
      <w:bookmarkStart w:id="0" w:name="_GoBack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больных гемофилией,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муковисцидозом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, гипофизарным нанизмом</w:t>
      </w:r>
      <w:bookmarkEnd w:id="0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гемолитико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-уремическим синдромом, юношеским артритом с системным началом,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мукополисахаридозом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I, II и VI типов,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апластической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анемией неуточненной, наследственным дефицитом факторов II (фибриногена), VII (лабильного), X (Стюарта -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Прауэра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), лиц после трансплантации органов и (или) тканей</w:t>
      </w:r>
    </w:p>
    <w:p w:rsidR="0048250D" w:rsidRPr="0048250D" w:rsidRDefault="0048250D" w:rsidP="0048250D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48250D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С изменениями и дополнениями от:</w:t>
      </w:r>
    </w:p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См. </w:t>
      </w:r>
      <w:hyperlink r:id="rId7" w:anchor="/document/77689231/entry/0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Сравнительную таблицу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настоящего Перечня и </w:t>
      </w:r>
      <w:hyperlink r:id="rId8" w:anchor="/document/72123048/entry/3000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Перечня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 xml:space="preserve"> лекарственных препаратов, предназначенных для обеспечения лиц, больных гемофилией, </w:t>
      </w:r>
      <w:proofErr w:type="spellStart"/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муковисцидозом</w:t>
      </w:r>
      <w:proofErr w:type="spellEnd"/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, гипофизарным нанизмом, болезнью Гоше, злокачественными новообразованиями лимфоидной, кроветворной и родственных им тканей, рассеянным склерозом, а также лиц после трансплантации органов и (или) тканей, утвержденного </w:t>
      </w:r>
      <w:hyperlink r:id="rId9" w:anchor="/document/72123048/entry/0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распоряжением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РФ от 10 декабря 2018 г. N 2738-р (на 2019 год)</w:t>
      </w:r>
    </w:p>
    <w:p w:rsidR="0048250D" w:rsidRPr="0048250D" w:rsidRDefault="0048250D" w:rsidP="0048250D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 изменен с 1 января 2022 г. - </w:t>
      </w:r>
      <w:hyperlink r:id="rId10" w:anchor="/document/403294845/entry/1021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23 декабря 2021 г. N 3781-Р</w:t>
      </w:r>
    </w:p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1" w:anchor="/document/77313861/entry/3001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См. предыдущую редакцию</w:t>
        </w:r>
      </w:hyperlink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Лекарственные препараты, которыми обеспечиваются больные гемофилией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65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формы</w:t>
            </w:r>
          </w:p>
        </w:tc>
      </w:tr>
      <w:tr w:rsidR="0048250D" w:rsidRPr="0048250D" w:rsidTr="0048250D">
        <w:tc>
          <w:tcPr>
            <w:tcW w:w="1665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135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и система кроветворения</w:t>
            </w:r>
          </w:p>
        </w:tc>
        <w:tc>
          <w:tcPr>
            <w:tcW w:w="7260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гемостатические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витамин К и другие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B02BD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свертывания крови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антиингибиторный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коагулянтный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мороктоког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нонаког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октоког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симоктоког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свертывания крови VIII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 свертывания крови VIII + фактор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Виллебранда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свертывания крови IX</w:t>
            </w:r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эптаког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 (активированный)</w:t>
            </w:r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эфмороктоког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B02BX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системные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эмицизумаб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II. Лекарственные препараты, которыми обеспечиваются больные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муковисцидозом</w:t>
      </w:r>
      <w:proofErr w:type="spellEnd"/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система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R05C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R05CB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муколитические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дорназа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III. Лекарственные препараты, которыми обеспечиваются больные гипофизарным нанизмом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H01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гормоны гипофиза и гипоталамуса и их аналоги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H01A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гормоны передней доли гипофиза и их аналоги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H01AC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соматропин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агонисты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соматропин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IV изменен с 1 января 2021 г. - </w:t>
      </w:r>
      <w:hyperlink r:id="rId12" w:anchor="/document/74944537/entry/1032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23 ноября 2020 г. N 3073-Р</w:t>
      </w:r>
    </w:p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3" w:anchor="/document/77703416/entry/3004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См. предыдущую редакцию</w:t>
        </w:r>
      </w:hyperlink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IV. Лекарственные препараты, которыми обеспечиваются больные болезнью Гоше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пищеварительный тракт и обмен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А16АВ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велаглюцераза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имиглюцераза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талиглюцераза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</w:t>
            </w:r>
          </w:p>
        </w:tc>
      </w:tr>
    </w:tbl>
    <w:p w:rsidR="0048250D" w:rsidRPr="0048250D" w:rsidRDefault="0048250D" w:rsidP="0048250D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V изменен с 1 января 2022 г. - </w:t>
      </w:r>
      <w:hyperlink r:id="rId14" w:anchor="/document/403294845/entry/1022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23 декабря 2021 г. N 3781-Р</w:t>
      </w:r>
    </w:p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5" w:anchor="/document/77313861/entry/3005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См. предыдущую редакцию</w:t>
        </w:r>
      </w:hyperlink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V. Лекарственные препараты, которыми обеспечиваются больные злокачественными новообразованиями лимфоидной, кроветворной и родственных им тканей (хронический миелоидный лейкоз,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макроглобулинемия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Вальденстрема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, множественная миелома, фолликулярная (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нодулярная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)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мелкоклеточная (диффузная)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мелкоклеточная с расщепленными ядрами (диффузная)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крупноклеточная (диффузная)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иммунобластная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(диффузная)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другие типы </w:t>
      </w: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lastRenderedPageBreak/>
        <w:t xml:space="preserve">диффузных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неходжкинских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диффузная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неходжкинская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неуточненная, другие и неуточненные типы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неходжкинской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лимфомы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, хронический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лимфоцитарный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лейкоз)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противоопухолевые препараты и иммуномодуляторы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противоопухолевые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антиметаболиты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L01BB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 пурина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флударабин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противоопухолевые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L01XC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моноклональные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антитела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даратумумаб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ритуксимаб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L01XE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ингибиторы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протеинкиназы</w:t>
            </w:r>
            <w:proofErr w:type="spellEnd"/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иматиниб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L01XX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противоопухолевые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бортезомиб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иксазомиб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L04AX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леналидомид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помалидомид</w:t>
            </w:r>
            <w:proofErr w:type="spellEnd"/>
          </w:p>
        </w:tc>
      </w:tr>
    </w:tbl>
    <w:p w:rsidR="0048250D" w:rsidRPr="0048250D" w:rsidRDefault="0048250D" w:rsidP="0048250D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VI изменен с 1 января 2022 г. - </w:t>
      </w:r>
      <w:hyperlink r:id="rId16" w:anchor="/document/403294845/entry/1023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23 декабря 2021 г. N 3781-Р</w:t>
      </w:r>
    </w:p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7" w:anchor="/document/77313861/entry/3006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См. предыдущую редакцию</w:t>
        </w:r>
      </w:hyperlink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VI. Лекарственные препараты, которыми обеспечиваются больные рассеянным склерозом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иммуностимуляторы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иммуностимуляторы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интерфероны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интерферон бета-1a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интерферон бета-1b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пэгинтерферон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бета-1a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L03AX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иммуностимуляторы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глатирамера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ацетат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L04A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алемтузумаб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кладрибин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натализумаб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окрелизумаб</w:t>
            </w:r>
            <w:proofErr w:type="spellEnd"/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терифлуномид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VII. Лекарственные препараты, которыми обеспечиваются пациенты после трансплантации органов и (или) тканей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противоопухолевые препараты и иммуномодуляторы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мофетил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микофеноловая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кислота</w:t>
            </w:r>
          </w:p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эверолимус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L04AD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ингибиторы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кальциневрина</w:t>
            </w:r>
            <w:proofErr w:type="spellEnd"/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циклоспорин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VIII. Лекарственные препараты, которыми обеспечиваются больные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гемолитико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-уремическим синдромом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L04A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селективные 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экулизумаб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IX. Лекарственные препараты, которыми обеспечиваются больные юношеским артритом с системным началом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ингибиторы фактора некроза опухоли альфа (ФНО-альфа)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адалимумаб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этанерцепт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L04AC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ингибиторы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интерлейкина</w:t>
            </w:r>
            <w:proofErr w:type="spellEnd"/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канакинумаб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X. Лекарственные препараты, которыми обеспечиваются больные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мукополисахаридозом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I типа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ларонидаза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lastRenderedPageBreak/>
        <w:t xml:space="preserve">XI. Лекарственные препараты, которыми обеспечиваются больные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мукополисахаридозом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II типа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идурсульфаза</w:t>
            </w:r>
            <w:proofErr w:type="spellEnd"/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идурсульфаза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бета</w:t>
            </w:r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XII. Лекарственные препараты, которыми обеспечиваются больные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мукополисахаридозом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VI типа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A16AB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галсульфаза</w:t>
            </w:r>
            <w:proofErr w:type="spellEnd"/>
          </w:p>
        </w:tc>
      </w:tr>
    </w:tbl>
    <w:p w:rsidR="0048250D" w:rsidRPr="0048250D" w:rsidRDefault="0048250D" w:rsidP="004825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Перечень дополнен разделом XIII с 26 апреля 2020 г. - </w:t>
      </w:r>
      <w:hyperlink r:id="rId18" w:anchor="/document/73956849/entry/10022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26 апреля 2020 г. N 1142-Р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XIII. Лекарственные препараты, которыми обеспечиваются больные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апластической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 анемией неуточненной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Анатомно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6135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противоопухолевые препараты и иммуномодуляторы</w:t>
            </w:r>
          </w:p>
        </w:tc>
        <w:tc>
          <w:tcPr>
            <w:tcW w:w="7260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L04AD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ингибиторы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кальциневрина</w:t>
            </w:r>
            <w:proofErr w:type="spellEnd"/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циклоспорин</w:t>
            </w:r>
            <w:proofErr w:type="spellEnd"/>
          </w:p>
        </w:tc>
      </w:tr>
    </w:tbl>
    <w:p w:rsidR="0048250D" w:rsidRPr="0048250D" w:rsidRDefault="0048250D" w:rsidP="0048250D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Перечень дополнен разделом XIV с 26 апреля 2020 г. - </w:t>
      </w:r>
      <w:hyperlink r:id="rId19" w:anchor="/document/73956849/entry/10022" w:history="1">
        <w:r w:rsidRPr="0048250D">
          <w:rPr>
            <w:rFonts w:ascii="Times New Roman" w:eastAsia="Times New Roman" w:hAnsi="Times New Roman" w:cs="Times New Roman"/>
            <w:color w:val="3272C0"/>
            <w:sz w:val="20"/>
            <w:szCs w:val="20"/>
            <w:lang w:eastAsia="ru-RU"/>
          </w:rPr>
          <w:t>Распоряжение</w:t>
        </w:r>
      </w:hyperlink>
      <w:r w:rsidRPr="0048250D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России от 26 апреля 2020 г. N 1142-Р</w:t>
      </w:r>
    </w:p>
    <w:p w:rsidR="0048250D" w:rsidRPr="0048250D" w:rsidRDefault="0048250D" w:rsidP="00482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 xml:space="preserve">XIV. Лекарственные препараты, которыми обеспечиваются больные наследственным дефицитом факторов II (фибриногена), VII (лабильного), X (Стюарта - </w:t>
      </w:r>
      <w:proofErr w:type="spellStart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Прауэра</w:t>
      </w:r>
      <w:proofErr w:type="spellEnd"/>
      <w:r w:rsidRPr="0048250D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)</w:t>
      </w:r>
    </w:p>
    <w:tbl>
      <w:tblPr>
        <w:tblW w:w="150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6141"/>
        <w:gridCol w:w="7267"/>
      </w:tblGrid>
      <w:tr w:rsidR="0048250D" w:rsidRPr="0048250D" w:rsidTr="0048250D"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Анатомно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-терапевтическо-химическая классификация (АТХ)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препараты</w:t>
            </w:r>
          </w:p>
        </w:tc>
      </w:tr>
      <w:tr w:rsidR="0048250D" w:rsidRPr="0048250D" w:rsidTr="0048250D">
        <w:tc>
          <w:tcPr>
            <w:tcW w:w="1665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135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и система кроветворения</w:t>
            </w:r>
          </w:p>
        </w:tc>
        <w:tc>
          <w:tcPr>
            <w:tcW w:w="7260" w:type="dxa"/>
            <w:tcBorders>
              <w:top w:val="single" w:sz="6" w:space="0" w:color="000000"/>
            </w:tcBorders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гемостатические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B02В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витамин К и другие </w:t>
            </w: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гемостатики</w:t>
            </w:r>
            <w:proofErr w:type="spellEnd"/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250D" w:rsidRPr="0048250D" w:rsidTr="0048250D">
        <w:tc>
          <w:tcPr>
            <w:tcW w:w="1665" w:type="dxa"/>
            <w:hideMark/>
          </w:tcPr>
          <w:p w:rsidR="0048250D" w:rsidRPr="0048250D" w:rsidRDefault="0048250D" w:rsidP="0048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B02ВD</w:t>
            </w:r>
          </w:p>
        </w:tc>
        <w:tc>
          <w:tcPr>
            <w:tcW w:w="6135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свертывания крови</w:t>
            </w:r>
          </w:p>
        </w:tc>
        <w:tc>
          <w:tcPr>
            <w:tcW w:w="7260" w:type="dxa"/>
            <w:hideMark/>
          </w:tcPr>
          <w:p w:rsidR="0048250D" w:rsidRPr="0048250D" w:rsidRDefault="0048250D" w:rsidP="00482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эптаког</w:t>
            </w:r>
            <w:proofErr w:type="spellEnd"/>
            <w:r w:rsidRPr="004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альфа (активированный)</w:t>
            </w:r>
          </w:p>
        </w:tc>
      </w:tr>
    </w:tbl>
    <w:p w:rsidR="009470C4" w:rsidRDefault="009470C4"/>
    <w:sectPr w:rsidR="009470C4" w:rsidSect="004825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37"/>
    <w:rsid w:val="0048250D"/>
    <w:rsid w:val="00491437"/>
    <w:rsid w:val="0094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1F101-08EE-4A80-9417-E1FDDA49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825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825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dent1">
    <w:name w:val="indent_1"/>
    <w:basedOn w:val="a"/>
    <w:rsid w:val="004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8250D"/>
  </w:style>
  <w:style w:type="character" w:styleId="a3">
    <w:name w:val="Hyperlink"/>
    <w:basedOn w:val="a0"/>
    <w:uiPriority w:val="99"/>
    <w:semiHidden/>
    <w:unhideWhenUsed/>
    <w:rsid w:val="0048250D"/>
    <w:rPr>
      <w:color w:val="0000FF"/>
      <w:u w:val="single"/>
    </w:rPr>
  </w:style>
  <w:style w:type="paragraph" w:customStyle="1" w:styleId="s22">
    <w:name w:val="s_22"/>
    <w:basedOn w:val="a"/>
    <w:rsid w:val="004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4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4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362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5357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48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1240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6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249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2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449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892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00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6128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1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5275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obileonline.garant.ru/" TargetMode="Externa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obileonline.garant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hyperlink" Target="https://mobileonline.garant.ru/" TargetMode="External"/><Relationship Id="rId1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19" Type="http://schemas.openxmlformats.org/officeDocument/2006/relationships/hyperlink" Target="https://mobileonline.garant.ru/" TargetMode="External"/><Relationship Id="rId4" Type="http://schemas.openxmlformats.org/officeDocument/2006/relationships/hyperlink" Target="https://mobileonline.garant.ru/" TargetMode="Externa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Кренц Ольга Валерьевна</dc:creator>
  <cp:keywords/>
  <dc:description/>
  <cp:lastModifiedBy>Кренц Ольга Валерьевна</cp:lastModifiedBy>
  <cp:revision>2</cp:revision>
  <dcterms:created xsi:type="dcterms:W3CDTF">2024-03-07T03:18:00Z</dcterms:created>
  <dcterms:modified xsi:type="dcterms:W3CDTF">2024-03-07T03:20:00Z</dcterms:modified>
</cp:coreProperties>
</file>